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7" w:rsidRPr="00104115" w:rsidRDefault="00761179" w:rsidP="00BE2417">
      <w:pPr>
        <w:jc w:val="both"/>
        <w:rPr>
          <w:b/>
          <w:sz w:val="28"/>
          <w:szCs w:val="28"/>
        </w:rPr>
      </w:pPr>
      <w:r>
        <w:rPr>
          <w:b/>
        </w:rPr>
        <w:tab/>
      </w:r>
      <w:r w:rsidR="00BE2417" w:rsidRPr="00104115">
        <w:rPr>
          <w:b/>
          <w:sz w:val="28"/>
          <w:szCs w:val="28"/>
        </w:rPr>
        <w:t xml:space="preserve">Результаты внешней проверки годовой бюджетной отчетности </w:t>
      </w:r>
      <w:r w:rsidRPr="00104115">
        <w:rPr>
          <w:b/>
          <w:sz w:val="28"/>
          <w:szCs w:val="28"/>
        </w:rPr>
        <w:t xml:space="preserve">за 2014 год </w:t>
      </w:r>
      <w:r w:rsidR="00BE2417" w:rsidRPr="00104115">
        <w:rPr>
          <w:b/>
          <w:sz w:val="28"/>
          <w:szCs w:val="28"/>
        </w:rPr>
        <w:t>главных распорядителей бюджетных средств</w:t>
      </w:r>
      <w:bookmarkStart w:id="0" w:name="_GoBack"/>
      <w:bookmarkEnd w:id="0"/>
    </w:p>
    <w:p w:rsidR="00BE2417" w:rsidRPr="00FF0040" w:rsidRDefault="00BE2417" w:rsidP="00BE2417">
      <w:pPr>
        <w:jc w:val="both"/>
        <w:rPr>
          <w:b/>
        </w:rPr>
      </w:pPr>
    </w:p>
    <w:p w:rsidR="00BE2417" w:rsidRDefault="00BE2417" w:rsidP="00BE2417">
      <w:pPr>
        <w:ind w:firstLine="709"/>
        <w:jc w:val="both"/>
        <w:rPr>
          <w:color w:val="auto"/>
        </w:rPr>
      </w:pPr>
      <w:proofErr w:type="gramStart"/>
      <w:r w:rsidRPr="00A11812">
        <w:rPr>
          <w:color w:val="auto"/>
        </w:rPr>
        <w:t xml:space="preserve">Контрольно-счетной палатой в </w:t>
      </w:r>
      <w:r>
        <w:rPr>
          <w:color w:val="auto"/>
        </w:rPr>
        <w:t>рамках</w:t>
      </w:r>
      <w:r w:rsidRPr="00A11812">
        <w:rPr>
          <w:color w:val="auto"/>
        </w:rPr>
        <w:t xml:space="preserve"> внешней проверки проведена документальная проверка представленной годовой бюджетной отчетности </w:t>
      </w:r>
      <w:r>
        <w:rPr>
          <w:color w:val="auto"/>
        </w:rPr>
        <w:t xml:space="preserve">38 </w:t>
      </w:r>
      <w:r w:rsidRPr="00A11812">
        <w:rPr>
          <w:color w:val="auto"/>
        </w:rPr>
        <w:t>главных распорядителей бюджетных средств</w:t>
      </w:r>
      <w:r>
        <w:rPr>
          <w:color w:val="auto"/>
        </w:rPr>
        <w:t xml:space="preserve"> (за исключением отчетности </w:t>
      </w:r>
      <w:r w:rsidRPr="005200D7">
        <w:t>Представительств</w:t>
      </w:r>
      <w:r>
        <w:t>а</w:t>
      </w:r>
      <w:r w:rsidRPr="005200D7">
        <w:t xml:space="preserve"> Томской области при Правительстве Российской Федерации</w:t>
      </w:r>
      <w:r>
        <w:t xml:space="preserve"> по причине ее непредставления)</w:t>
      </w:r>
      <w:r w:rsidRPr="00A11812">
        <w:rPr>
          <w:color w:val="auto"/>
        </w:rPr>
        <w:t>.</w:t>
      </w:r>
      <w:proofErr w:type="gramEnd"/>
      <w:r>
        <w:rPr>
          <w:color w:val="auto"/>
        </w:rPr>
        <w:t xml:space="preserve"> Отчетность представлена главными распорядителями в срок, установленный </w:t>
      </w:r>
      <w:r w:rsidRPr="00E9147A">
        <w:rPr>
          <w:color w:val="auto"/>
        </w:rPr>
        <w:t>Закон</w:t>
      </w:r>
      <w:r>
        <w:rPr>
          <w:color w:val="auto"/>
        </w:rPr>
        <w:t>ом</w:t>
      </w:r>
      <w:r w:rsidRPr="00E9147A">
        <w:rPr>
          <w:color w:val="auto"/>
        </w:rPr>
        <w:t xml:space="preserve"> Томской области </w:t>
      </w:r>
      <w:r>
        <w:rPr>
          <w:color w:val="auto"/>
        </w:rPr>
        <w:t>«</w:t>
      </w:r>
      <w:r w:rsidRPr="00E9147A">
        <w:rPr>
          <w:color w:val="auto"/>
        </w:rPr>
        <w:t>О бюджетном процессе в</w:t>
      </w:r>
      <w:r>
        <w:rPr>
          <w:color w:val="auto"/>
        </w:rPr>
        <w:t xml:space="preserve"> Томской области».</w:t>
      </w:r>
    </w:p>
    <w:p w:rsidR="00BE2417" w:rsidRDefault="00BE2417" w:rsidP="00BE241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iCs/>
        </w:rPr>
        <w:t xml:space="preserve">Проверкой годовой бюджетной отчетности главных администраторов средств областного бюджета и анализом полноты </w:t>
      </w:r>
      <w:r w:rsidRPr="00317B0A">
        <w:rPr>
          <w:iCs/>
        </w:rPr>
        <w:t xml:space="preserve">и </w:t>
      </w:r>
      <w:r>
        <w:t xml:space="preserve">соответствия нормативным требованиям ее составления и представления </w:t>
      </w:r>
      <w:r>
        <w:rPr>
          <w:color w:val="auto"/>
        </w:rPr>
        <w:t xml:space="preserve">установлены такие повторяющиеся из года в год недостатки, как </w:t>
      </w:r>
      <w:r w:rsidRPr="00317B0A">
        <w:t xml:space="preserve">представление годовой бюджетной отчетности в несброшюрованном и непронумерованном виде, </w:t>
      </w:r>
      <w:r>
        <w:t>п</w:t>
      </w:r>
      <w:r w:rsidRPr="00317B0A">
        <w:t>редставление форм отчетности</w:t>
      </w:r>
      <w:r>
        <w:t xml:space="preserve"> не в полном составе без указания в П</w:t>
      </w:r>
      <w:r w:rsidRPr="00317B0A">
        <w:t>ояснительной записке причин непредставления</w:t>
      </w:r>
      <w:r>
        <w:t>, а также неверное заполнение отдельных форм, о которых</w:t>
      </w:r>
      <w:proofErr w:type="gramEnd"/>
      <w:r>
        <w:t xml:space="preserve"> Контрольно-счетная палата неоднократно сообщала в Департамент финансов Томской области с указанием на необходимость принятия соответствующих мер по их устранению и недопущению впредь.</w:t>
      </w:r>
      <w:r w:rsidRPr="00597494">
        <w:rPr>
          <w:color w:val="auto"/>
        </w:rPr>
        <w:t xml:space="preserve"> </w:t>
      </w:r>
    </w:p>
    <w:p w:rsidR="00BE2417" w:rsidRDefault="00BE2417" w:rsidP="00BE241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11812">
        <w:rPr>
          <w:color w:val="auto"/>
        </w:rPr>
        <w:t>Данные технические недостатки не оказывают влияния на признание показателей Отчета достоверными</w:t>
      </w:r>
      <w:r>
        <w:rPr>
          <w:color w:val="auto"/>
        </w:rPr>
        <w:t xml:space="preserve">, однако свидетельствуют как о несоблюдении норм </w:t>
      </w:r>
      <w:r w:rsidRPr="00317B0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>
        <w:t>, так и</w:t>
      </w:r>
      <w:r>
        <w:rPr>
          <w:color w:val="auto"/>
        </w:rPr>
        <w:t xml:space="preserve"> замечаний Контрольно-счетной палаты по их соблюдению. Информация о выявленных недостатках будет направлена в Департамент финансов для принятия мер по их устранению.</w:t>
      </w:r>
    </w:p>
    <w:p w:rsidR="00BE2417" w:rsidRDefault="00BE2417" w:rsidP="00BE2417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BE2417" w:rsidRDefault="00BE2417" w:rsidP="00BE241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00E90">
        <w:rPr>
          <w:color w:val="auto"/>
        </w:rPr>
        <w:t xml:space="preserve">Также в рамках внешней проверки годовой бюджетной отчетности проведены выездные проверки </w:t>
      </w:r>
      <w:r>
        <w:rPr>
          <w:color w:val="auto"/>
        </w:rPr>
        <w:t xml:space="preserve">трех </w:t>
      </w:r>
      <w:r w:rsidRPr="00800E90">
        <w:rPr>
          <w:color w:val="auto"/>
        </w:rPr>
        <w:t>главных распорядителей бюджетных средств</w:t>
      </w:r>
      <w:r>
        <w:rPr>
          <w:color w:val="auto"/>
        </w:rPr>
        <w:t>.</w:t>
      </w:r>
    </w:p>
    <w:p w:rsidR="00BE2417" w:rsidRPr="007A39BE" w:rsidRDefault="00BE2417" w:rsidP="00BE2417">
      <w:pPr>
        <w:ind w:firstLine="709"/>
        <w:jc w:val="both"/>
        <w:rPr>
          <w:color w:val="auto"/>
        </w:rPr>
      </w:pPr>
      <w:r w:rsidRPr="007A39BE">
        <w:rPr>
          <w:color w:val="auto"/>
        </w:rPr>
        <w:t>По результатам внешней проверки бюджетной отчетности Г</w:t>
      </w:r>
      <w:r>
        <w:rPr>
          <w:color w:val="auto"/>
        </w:rPr>
        <w:t>Р</w:t>
      </w:r>
      <w:r w:rsidRPr="007A39BE">
        <w:rPr>
          <w:color w:val="auto"/>
        </w:rPr>
        <w:t xml:space="preserve">БС установлено, что представленные </w:t>
      </w:r>
      <w:r w:rsidRPr="007A39BE">
        <w:t xml:space="preserve">Отчеты </w:t>
      </w:r>
      <w:r w:rsidRPr="007A39BE">
        <w:rPr>
          <w:color w:val="auto"/>
        </w:rPr>
        <w:t>об исполнении бюджета главных распорядителей средств областного бюджета, главных администраторов доходов областного бюджета</w:t>
      </w:r>
      <w:r>
        <w:rPr>
          <w:color w:val="auto"/>
        </w:rPr>
        <w:t xml:space="preserve">: </w:t>
      </w:r>
      <w:r w:rsidRPr="007A39BE">
        <w:rPr>
          <w:color w:val="auto"/>
        </w:rPr>
        <w:t xml:space="preserve"> Департамента тарифного регулирования Томской области, Департамента по транспорту, дорожной деятельности и связи Томской области и </w:t>
      </w:r>
      <w:r w:rsidRPr="007A39BE">
        <w:rPr>
          <w:iCs/>
          <w:color w:val="auto"/>
        </w:rPr>
        <w:t xml:space="preserve">Управления охотничьего хозяйства Томской области </w:t>
      </w:r>
      <w:r w:rsidRPr="007A39BE">
        <w:rPr>
          <w:color w:val="auto"/>
        </w:rPr>
        <w:t xml:space="preserve">являются достоверными. </w:t>
      </w:r>
    </w:p>
    <w:p w:rsidR="00BE2417" w:rsidRPr="007A39BE" w:rsidRDefault="00BE2417" w:rsidP="00BE2417">
      <w:pPr>
        <w:ind w:firstLine="709"/>
        <w:jc w:val="both"/>
        <w:rPr>
          <w:color w:val="auto"/>
        </w:rPr>
      </w:pPr>
      <w:proofErr w:type="gramStart"/>
      <w:r w:rsidRPr="007A39BE">
        <w:rPr>
          <w:color w:val="auto"/>
        </w:rPr>
        <w:t xml:space="preserve">При этом годовая бюджетная отчетность </w:t>
      </w:r>
      <w:r w:rsidRPr="007A39BE">
        <w:rPr>
          <w:iCs/>
          <w:color w:val="auto"/>
        </w:rPr>
        <w:t xml:space="preserve">в нарушение </w:t>
      </w:r>
      <w:r w:rsidRPr="007A39BE">
        <w:rPr>
          <w:color w:val="auto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бюджета, главными администраторами доходов областного бюджета, главными администраторами источников финансирования дефицита областного</w:t>
      </w:r>
      <w:proofErr w:type="gramEnd"/>
      <w:r w:rsidRPr="007A39BE">
        <w:rPr>
          <w:color w:val="auto"/>
        </w:rPr>
        <w:t xml:space="preserve"> бюджета, утвержденного приказом Департамента финансов Томской области от 04.09.2012 № 27, </w:t>
      </w:r>
      <w:proofErr w:type="gramStart"/>
      <w:r w:rsidRPr="007A39BE">
        <w:rPr>
          <w:color w:val="auto"/>
        </w:rPr>
        <w:t>представлена</w:t>
      </w:r>
      <w:proofErr w:type="gramEnd"/>
      <w:r w:rsidRPr="007A39BE">
        <w:rPr>
          <w:color w:val="auto"/>
        </w:rPr>
        <w:t xml:space="preserve"> без оглавления, в непронумерованном виде, не в полном объеме и имеет ряд недостатков.</w:t>
      </w:r>
    </w:p>
    <w:p w:rsidR="00BE2417" w:rsidRPr="007A39BE" w:rsidRDefault="00BE2417" w:rsidP="00BE241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7A39BE">
        <w:rPr>
          <w:color w:val="auto"/>
        </w:rPr>
        <w:t>Так, при проверке полноты и достоверности бюджетной отчетности установлены следующие факты: в составе годовой отчетности не представлено 6 форм бюджетной отчетности</w:t>
      </w:r>
      <w:r>
        <w:rPr>
          <w:color w:val="auto"/>
        </w:rPr>
        <w:t>; из предусмотренных в составе П</w:t>
      </w:r>
      <w:r w:rsidRPr="007A39BE">
        <w:rPr>
          <w:color w:val="auto"/>
        </w:rPr>
        <w:t>ояснительной записки 7</w:t>
      </w:r>
      <w:r>
        <w:rPr>
          <w:color w:val="auto"/>
        </w:rPr>
        <w:t>-ми</w:t>
      </w:r>
      <w:r w:rsidRPr="007A39BE">
        <w:rPr>
          <w:color w:val="auto"/>
        </w:rPr>
        <w:t xml:space="preserve"> таблиц и 14</w:t>
      </w:r>
      <w:r>
        <w:rPr>
          <w:color w:val="auto"/>
        </w:rPr>
        <w:t>-ти</w:t>
      </w:r>
      <w:r w:rsidRPr="007A39BE">
        <w:rPr>
          <w:color w:val="auto"/>
        </w:rPr>
        <w:t xml:space="preserve"> приложений не представлено 2 таблицы и 5 прило</w:t>
      </w:r>
      <w:r>
        <w:rPr>
          <w:color w:val="auto"/>
        </w:rPr>
        <w:t>жений;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в пояснительных записках</w:t>
      </w:r>
      <w:r w:rsidRPr="007A39BE">
        <w:rPr>
          <w:color w:val="auto"/>
        </w:rPr>
        <w:t xml:space="preserve"> текстовая часть не структурирована в разрезе предусмотренных разделов, отсутствуют подписи руководителя и главного бухгалтера, перечень форм, не включенных в состав бюджетной отчетности ввиду отсутствия числовых значений показателей; в представленных та</w:t>
      </w:r>
      <w:r>
        <w:rPr>
          <w:color w:val="auto"/>
        </w:rPr>
        <w:t>блицах и приложениях в составе П</w:t>
      </w:r>
      <w:r w:rsidRPr="007A39BE">
        <w:rPr>
          <w:color w:val="auto"/>
        </w:rPr>
        <w:t>ояснительной записки отражена неполная и недос</w:t>
      </w:r>
      <w:r>
        <w:rPr>
          <w:color w:val="auto"/>
        </w:rPr>
        <w:t>товерная информация; в составе П</w:t>
      </w:r>
      <w:r w:rsidRPr="007A39BE">
        <w:rPr>
          <w:color w:val="auto"/>
        </w:rPr>
        <w:t xml:space="preserve">ояснительной записки представлены </w:t>
      </w:r>
      <w:r w:rsidRPr="007A39BE">
        <w:rPr>
          <w:color w:val="auto"/>
        </w:rPr>
        <w:lastRenderedPageBreak/>
        <w:t>таблицы и приложения, не содержащие информации.</w:t>
      </w:r>
      <w:proofErr w:type="gramEnd"/>
      <w:r w:rsidRPr="007A39BE">
        <w:rPr>
          <w:color w:val="auto"/>
        </w:rPr>
        <w:t xml:space="preserve"> Показатели Отчета о принятых бюджетных обязательствах (ф.0503128) Департамента тарифного регулирования и отчета «Мониторинг кредиторской задолженности по казенным учреждениям» Управления охотничьего хозяйства не соответствуют данным Главной книги. </w:t>
      </w:r>
    </w:p>
    <w:p w:rsidR="00BE2417" w:rsidRPr="007A39BE" w:rsidRDefault="00BE2417" w:rsidP="00BE2417">
      <w:pPr>
        <w:ind w:firstLine="709"/>
        <w:jc w:val="both"/>
        <w:rPr>
          <w:color w:val="auto"/>
        </w:rPr>
      </w:pPr>
      <w:r w:rsidRPr="007A39BE">
        <w:rPr>
          <w:color w:val="auto"/>
        </w:rPr>
        <w:t>Также установлены нарушения Бюджетного кодекса РФ, Закона Томской области «О бюджетном процессе в Томской области»,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утвержденного приказом Департамента финансов от 14.12.2007 № 39, при организации исполнения бюджета:</w:t>
      </w:r>
    </w:p>
    <w:p w:rsidR="00BE2417" w:rsidRPr="007A39BE" w:rsidRDefault="00BE2417" w:rsidP="00BE2417">
      <w:pPr>
        <w:ind w:firstLine="708"/>
        <w:jc w:val="both"/>
        <w:rPr>
          <w:color w:val="auto"/>
        </w:rPr>
      </w:pPr>
      <w:r w:rsidRPr="007A39BE">
        <w:rPr>
          <w:color w:val="auto"/>
        </w:rPr>
        <w:t xml:space="preserve">- Департамент тарифного регулирования не осуществлял составление, утверждение и ведение бюджетной росписи; не осуществлял составление проекта бюджетной сметы и ведение бюджетной сметы в нарушение установленного им же порядка составления, утверждения и ведения бюджетных смет;   </w:t>
      </w:r>
    </w:p>
    <w:p w:rsidR="00BE2417" w:rsidRPr="007A39BE" w:rsidRDefault="00BE2417" w:rsidP="00BE2417">
      <w:pPr>
        <w:ind w:firstLine="708"/>
        <w:jc w:val="both"/>
        <w:rPr>
          <w:color w:val="auto"/>
        </w:rPr>
      </w:pPr>
      <w:r w:rsidRPr="007A39BE">
        <w:rPr>
          <w:color w:val="auto"/>
        </w:rPr>
        <w:t xml:space="preserve">- Управление охотничьего хозяйства не осуществляло ведение бюджетной росписи; не производило обоснование сметных назначений. </w:t>
      </w:r>
    </w:p>
    <w:p w:rsidR="00BE2417" w:rsidRPr="007A39BE" w:rsidRDefault="00BE2417" w:rsidP="00BE2417">
      <w:pPr>
        <w:ind w:firstLine="708"/>
        <w:jc w:val="both"/>
        <w:rPr>
          <w:color w:val="auto"/>
          <w:u w:val="single"/>
        </w:rPr>
      </w:pPr>
      <w:r w:rsidRPr="007A39BE">
        <w:rPr>
          <w:color w:val="auto"/>
        </w:rPr>
        <w:t xml:space="preserve">Кроме того, в нарушение действующего законодательства Управлению охотничьего хозяйства в 2014 году было предоставлено финансирование за счет средств областного бюджета на осуществление переданных полномочий РФ в сумме 1 414 </w:t>
      </w:r>
      <w:proofErr w:type="spellStart"/>
      <w:r w:rsidRPr="007A39BE">
        <w:rPr>
          <w:color w:val="auto"/>
        </w:rPr>
        <w:t>тыс</w:t>
      </w:r>
      <w:proofErr w:type="gramStart"/>
      <w:r w:rsidRPr="007A39BE">
        <w:rPr>
          <w:color w:val="auto"/>
        </w:rPr>
        <w:t>.р</w:t>
      </w:r>
      <w:proofErr w:type="gramEnd"/>
      <w:r w:rsidRPr="007A39BE">
        <w:rPr>
          <w:color w:val="auto"/>
        </w:rPr>
        <w:t>уб</w:t>
      </w:r>
      <w:proofErr w:type="spellEnd"/>
      <w:r w:rsidRPr="007A39BE">
        <w:rPr>
          <w:color w:val="auto"/>
        </w:rPr>
        <w:t>. при отсутствии соответствующего порядка.</w:t>
      </w:r>
    </w:p>
    <w:p w:rsidR="00BE2417" w:rsidRPr="007A39BE" w:rsidRDefault="00BE2417" w:rsidP="00BE2417">
      <w:pPr>
        <w:ind w:firstLine="708"/>
        <w:jc w:val="both"/>
        <w:rPr>
          <w:bCs/>
          <w:color w:val="auto"/>
        </w:rPr>
      </w:pPr>
      <w:r w:rsidRPr="007A39BE">
        <w:rPr>
          <w:color w:val="auto"/>
        </w:rPr>
        <w:t>В нарушение требований Федерального закона «О бухгалтерском учете», Инструкции по применению Единого плана счетов бухгалтерского учета</w:t>
      </w:r>
      <w:r>
        <w:rPr>
          <w:color w:val="auto"/>
        </w:rPr>
        <w:t>…</w:t>
      </w:r>
      <w:r w:rsidRPr="007A39BE">
        <w:rPr>
          <w:color w:val="auto"/>
        </w:rPr>
        <w:t xml:space="preserve">, утвержденной Приказом Минфина России от 01.12.2010 № 157н, и других </w:t>
      </w:r>
      <w:r w:rsidRPr="007A39BE">
        <w:rPr>
          <w:bCs/>
          <w:color w:val="auto"/>
        </w:rPr>
        <w:t>нормативных правовых актов, регулирующих бухгалтерский учет, в проверенных учреждениях:</w:t>
      </w:r>
    </w:p>
    <w:p w:rsidR="00BE2417" w:rsidRPr="007A39BE" w:rsidRDefault="00BE2417" w:rsidP="00BE241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proofErr w:type="gramStart"/>
      <w:r w:rsidRPr="007A39BE">
        <w:rPr>
          <w:bCs/>
          <w:color w:val="auto"/>
        </w:rPr>
        <w:t>- п</w:t>
      </w:r>
      <w:r w:rsidRPr="007A39BE">
        <w:rPr>
          <w:rFonts w:eastAsiaTheme="minorHAnsi"/>
          <w:color w:val="auto"/>
          <w:lang w:eastAsia="en-US"/>
        </w:rPr>
        <w:t xml:space="preserve">оложение об учетной политике утверждено на один год, </w:t>
      </w:r>
      <w:r w:rsidRPr="007A39BE">
        <w:rPr>
          <w:color w:val="auto"/>
        </w:rPr>
        <w:t>содержит ссылки на нормативный правовой акт, утративший силу; при формировании учетной политики не утверждены: рабочий план счетов, методы оценки отдельных видов имущества и обязательств, правила документооборота и технология обработки учетной информации, порядок организации и осуществления внутреннего финансового контроля, порядок отражения в учете событий после отчетной даты;</w:t>
      </w:r>
      <w:proofErr w:type="gramEnd"/>
      <w:r w:rsidRPr="007A39BE">
        <w:rPr>
          <w:color w:val="auto"/>
        </w:rPr>
        <w:t xml:space="preserve"> не внесены изменения в учетную политику в связи с изменениями Инструкции по применению Единого плана счетов бухгалтерского учета …; в утвержденных рабочих планах счетов отсутствуют счета, предназначенные для учета операций по санкционированию расходов</w:t>
      </w:r>
      <w:r>
        <w:rPr>
          <w:color w:val="auto"/>
        </w:rPr>
        <w:t>;</w:t>
      </w:r>
      <w:r w:rsidRPr="007A39BE">
        <w:rPr>
          <w:color w:val="auto"/>
        </w:rPr>
        <w:t xml:space="preserve"> применяемые </w:t>
      </w:r>
      <w:proofErr w:type="spellStart"/>
      <w:r w:rsidRPr="007A39BE">
        <w:rPr>
          <w:color w:val="auto"/>
        </w:rPr>
        <w:t>забалансовые</w:t>
      </w:r>
      <w:proofErr w:type="spellEnd"/>
      <w:r w:rsidRPr="007A39BE">
        <w:rPr>
          <w:color w:val="auto"/>
        </w:rPr>
        <w:t xml:space="preserve"> счета, номера счетов не содержат аналитических кодов; </w:t>
      </w:r>
    </w:p>
    <w:p w:rsidR="00BE2417" w:rsidRPr="007A39BE" w:rsidRDefault="00BE2417" w:rsidP="00BE2417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</w:rPr>
      </w:pPr>
      <w:r w:rsidRPr="007A39BE">
        <w:rPr>
          <w:color w:val="auto"/>
        </w:rPr>
        <w:tab/>
      </w:r>
      <w:proofErr w:type="gramStart"/>
      <w:r w:rsidRPr="007A39BE">
        <w:rPr>
          <w:color w:val="auto"/>
        </w:rPr>
        <w:t>- перед составлением годовой бюджетной отчетности инвентаризация проведена не в полном объеме и с нарушением установленного порядка, а именно</w:t>
      </w:r>
      <w:r>
        <w:rPr>
          <w:color w:val="auto"/>
        </w:rPr>
        <w:t>:</w:t>
      </w:r>
      <w:r w:rsidRPr="007A39BE">
        <w:rPr>
          <w:color w:val="auto"/>
        </w:rPr>
        <w:t xml:space="preserve"> не проводилась инвентаризация расчетов, материальных запасов и активов, учитываемых на </w:t>
      </w:r>
      <w:proofErr w:type="spellStart"/>
      <w:r w:rsidRPr="007A39BE">
        <w:rPr>
          <w:color w:val="auto"/>
        </w:rPr>
        <w:t>забалансовых</w:t>
      </w:r>
      <w:proofErr w:type="spellEnd"/>
      <w:r w:rsidRPr="007A39BE">
        <w:rPr>
          <w:color w:val="auto"/>
        </w:rPr>
        <w:t xml:space="preserve"> счетах; результаты проведенной инвентаризации отражались без указания номеров счетов бухгалтерского учета, даты начала и окончания инвентаризации, мест проведения инвентаризации, сведений о фактическом наличии имущества, при отсутствии заключений комиссий;</w:t>
      </w:r>
      <w:proofErr w:type="gramEnd"/>
    </w:p>
    <w:p w:rsidR="00BE2417" w:rsidRPr="007A39BE" w:rsidRDefault="00BE2417" w:rsidP="00BE241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7A39BE">
        <w:rPr>
          <w:bCs/>
          <w:color w:val="auto"/>
        </w:rPr>
        <w:t xml:space="preserve">- </w:t>
      </w:r>
      <w:r w:rsidRPr="007A39BE">
        <w:t>не осуществлялся</w:t>
      </w:r>
      <w:r w:rsidRPr="007A39BE">
        <w:rPr>
          <w:bCs/>
          <w:color w:val="auto"/>
        </w:rPr>
        <w:t xml:space="preserve"> у</w:t>
      </w:r>
      <w:r w:rsidRPr="007A39BE">
        <w:t xml:space="preserve">чет операций, связанных с санкционированием расходов бюджетов </w:t>
      </w:r>
      <w:r w:rsidRPr="007A39BE">
        <w:rPr>
          <w:color w:val="auto"/>
        </w:rPr>
        <w:t>как главными распорядителями бюджетных средств - в части учета сумм доведенных финансовым органом утвержденных показателей бюджетных ассигнований и</w:t>
      </w:r>
      <w:r>
        <w:rPr>
          <w:color w:val="auto"/>
        </w:rPr>
        <w:t xml:space="preserve"> лимитов бюджетных обязательств</w:t>
      </w:r>
      <w:r w:rsidRPr="007A39BE">
        <w:rPr>
          <w:color w:val="auto"/>
        </w:rPr>
        <w:t xml:space="preserve"> и распределенных себе как получателям бюджетных средств, показателей бюджетных ассигнований и лимитов бюджетных обязательств текущего года; </w:t>
      </w:r>
      <w:r w:rsidRPr="007A39BE">
        <w:t>как получателями бюджетных средств - в части учета бюджетных ассигнований текущего года</w:t>
      </w:r>
      <w:r>
        <w:t>,</w:t>
      </w:r>
      <w:r w:rsidRPr="007A39BE">
        <w:rPr>
          <w:b/>
        </w:rPr>
        <w:t xml:space="preserve"> </w:t>
      </w:r>
      <w:r w:rsidRPr="007A39BE">
        <w:rPr>
          <w:color w:val="auto"/>
        </w:rPr>
        <w:t>в части санкционирования расходов бюджета (бюджетные ассигнования, лимиты бюджетных обязательств, принятые обязательства) на первый и второй годы планового периода;</w:t>
      </w:r>
    </w:p>
    <w:p w:rsidR="00BE2417" w:rsidRPr="007A39BE" w:rsidRDefault="00BE2417" w:rsidP="00BE2417">
      <w:pPr>
        <w:ind w:firstLine="708"/>
        <w:jc w:val="both"/>
        <w:rPr>
          <w:color w:val="auto"/>
        </w:rPr>
      </w:pPr>
      <w:r w:rsidRPr="007A39BE">
        <w:rPr>
          <w:color w:val="auto"/>
        </w:rPr>
        <w:t xml:space="preserve">- бюджетный учет санкционирования расходов бюджета в части ведения </w:t>
      </w:r>
      <w:proofErr w:type="gramStart"/>
      <w:r w:rsidRPr="007A39BE">
        <w:rPr>
          <w:color w:val="auto"/>
        </w:rPr>
        <w:t>учета</w:t>
      </w:r>
      <w:proofErr w:type="gramEnd"/>
      <w:r w:rsidRPr="007A39BE">
        <w:rPr>
          <w:color w:val="auto"/>
        </w:rPr>
        <w:t xml:space="preserve"> доведенных лимитов бюджетных обязательств и принятых бюджетных обязательств текущего финансового года является недостоверным.</w:t>
      </w:r>
    </w:p>
    <w:p w:rsidR="00BE2417" w:rsidRPr="007A39BE" w:rsidRDefault="00BE2417" w:rsidP="00BE241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7A39BE">
        <w:rPr>
          <w:color w:val="auto"/>
        </w:rPr>
        <w:t>Бюджетная отчетность по причине допущенных в 2014 году ряда ошибок в бухгалтерском учете не дает достоверного представления о финансовом положении и финансовом результате деятельности главных распорядителей бюджетных средств:</w:t>
      </w:r>
    </w:p>
    <w:p w:rsidR="00BE2417" w:rsidRPr="007A39BE" w:rsidRDefault="00BE2417" w:rsidP="00BE2417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7A39BE">
        <w:t xml:space="preserve">- Управлением охотничьего хозяйства </w:t>
      </w:r>
      <w:r w:rsidRPr="007A39BE">
        <w:rPr>
          <w:color w:val="auto"/>
        </w:rPr>
        <w:t xml:space="preserve">необоснованно сформирована кредиторская задолженность по услугам теплоснабжения при отсутствии доведенных лимитов бюджетных обязательств; </w:t>
      </w:r>
    </w:p>
    <w:p w:rsidR="00BE2417" w:rsidRDefault="00BE2417" w:rsidP="00BE2417">
      <w:pPr>
        <w:ind w:firstLine="708"/>
        <w:jc w:val="both"/>
      </w:pPr>
      <w:r w:rsidRPr="007A39BE">
        <w:t xml:space="preserve">- в результате проведения инвентаризации имущества и обязательств не в полном объеме обоснованность сумм, числящихся на счетах бюджетного учета, не подтверждена. </w:t>
      </w:r>
    </w:p>
    <w:p w:rsidR="00BE2417" w:rsidRPr="00940BEC" w:rsidRDefault="00BE2417" w:rsidP="00BE2417">
      <w:pPr>
        <w:ind w:firstLine="709"/>
        <w:jc w:val="both"/>
        <w:rPr>
          <w:color w:val="auto"/>
        </w:rPr>
      </w:pPr>
      <w:proofErr w:type="gramStart"/>
      <w:r w:rsidRPr="00940BEC">
        <w:rPr>
          <w:color w:val="auto"/>
        </w:rPr>
        <w:t xml:space="preserve">В связи с многочисленными нарушениями и недостатками, выявленными в ходе проведения внешней проверки бюджетной отчетности за 2014 год, главным распорядителям средств областного бюджета, главным администраторам доходов областного бюджета, в отношении которых были проведены контрольные мероприятия, Департаменту тарифного регулирования Томской области, Департаменту по транспорту, дорожной деятельности и связи Томской области и </w:t>
      </w:r>
      <w:r w:rsidRPr="00940BEC">
        <w:rPr>
          <w:iCs/>
          <w:color w:val="auto"/>
        </w:rPr>
        <w:t>Управлению охотничьего хозяйства Томской области</w:t>
      </w:r>
      <w:r w:rsidRPr="00940BEC">
        <w:rPr>
          <w:color w:val="auto"/>
        </w:rPr>
        <w:t xml:space="preserve"> Контрольно-счетной палатой будут направлены представления</w:t>
      </w:r>
      <w:proofErr w:type="gramEnd"/>
      <w:r w:rsidRPr="00940BEC">
        <w:rPr>
          <w:color w:val="auto"/>
        </w:rPr>
        <w:t xml:space="preserve"> для рассмотрения и принятия мер по устранению выявленных нарушений и недостатков, по привлечению к ответственности должностных лиц, виновных в допущенных нарушениях. О результатах проверки также будет проинформирован Департамент финансов Томской области. </w:t>
      </w:r>
    </w:p>
    <w:p w:rsidR="007F5F9D" w:rsidRDefault="007F5F9D"/>
    <w:sectPr w:rsidR="007F5F9D" w:rsidSect="00BE24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7"/>
    <w:rsid w:val="00104115"/>
    <w:rsid w:val="00761179"/>
    <w:rsid w:val="007F5F9D"/>
    <w:rsid w:val="00B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3</cp:revision>
  <dcterms:created xsi:type="dcterms:W3CDTF">2015-08-03T03:55:00Z</dcterms:created>
  <dcterms:modified xsi:type="dcterms:W3CDTF">2015-08-03T03:57:00Z</dcterms:modified>
</cp:coreProperties>
</file>